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D3E77" w:rsidP="00E272C9">
      <w:pPr>
        <w:ind w:left="440" w:right="4" w:hanging="440"/>
        <w:jc w:val="center"/>
        <w:rPr>
          <w:rFonts w:ascii="Times New Roman" w:hAnsi="Times New Roman"/>
          <w:b/>
          <w:sz w:val="24"/>
          <w:szCs w:val="24"/>
        </w:rPr>
      </w:pPr>
      <w:r>
        <w:rPr>
          <w:rFonts w:ascii="Times New Roman" w:hAnsi="Times New Roman"/>
          <w:b/>
          <w:sz w:val="24"/>
          <w:szCs w:val="24"/>
        </w:rPr>
        <w:t>Momentum and Collisions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before="80" w:after="80"/>
              <w:ind w:right="4"/>
              <w:jc w:val="center"/>
              <w:rPr>
                <w:rFonts w:ascii="Times New Roman" w:hAnsi="Times New Roman"/>
              </w:rPr>
            </w:pPr>
            <w:r>
              <w:rPr>
                <w:rFonts w:ascii="Times New Roman" w:hAnsi="Times New Roman"/>
              </w:rPr>
              <w:t>MC</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3D3E77" w:rsidP="000323C4">
            <w:pPr>
              <w:spacing w:line="360" w:lineRule="atLeast"/>
              <w:ind w:right="4"/>
              <w:jc w:val="center"/>
              <w:rPr>
                <w:rFonts w:ascii="Times New Roman" w:hAnsi="Times New Roman"/>
              </w:rPr>
            </w:pPr>
            <w:r>
              <w:rPr>
                <w:rFonts w:ascii="Times New Roman" w:hAnsi="Times New Roman"/>
              </w:rPr>
              <w:t>MC</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D3E77"/>
    <w:rsid w:val="003F5B42"/>
    <w:rsid w:val="005D7260"/>
    <w:rsid w:val="009F2E9F"/>
    <w:rsid w:val="00DE542B"/>
    <w:rsid w:val="00EC47F2"/>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2016-07-31T13:31:00Z</dcterms:modified>
</cp:coreProperties>
</file>